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E387C6D" w14:textId="592ECA1C" w:rsidR="0003503D" w:rsidRDefault="0003503D">
      <w:pPr>
        <w:rPr>
          <w:rFonts w:ascii="Bookman Old Style" w:hAnsi="Bookman Old Style"/>
          <w:sz w:val="24"/>
          <w:szCs w:val="24"/>
        </w:rPr>
      </w:pPr>
      <w:bookmarkStart w:id="0" w:name="_GoBack"/>
      <w:bookmarkEnd w:id="0"/>
    </w:p>
    <w:p w14:paraId="730C7ECB" w14:textId="10719CCF" w:rsidR="0003503D" w:rsidRDefault="0003503D">
      <w:pPr>
        <w:rPr>
          <w:rFonts w:ascii="Bookman Old Style" w:hAnsi="Bookman Old Style"/>
          <w:sz w:val="24"/>
          <w:szCs w:val="24"/>
        </w:rPr>
      </w:pPr>
      <w:r w:rsidRPr="0003503D">
        <w:rPr>
          <w:rFonts w:ascii="Bookman Old Style" w:hAnsi="Bookman Old Style"/>
          <w:noProof/>
          <w:sz w:val="24"/>
          <w:szCs w:val="24"/>
        </w:rPr>
        <w:drawing>
          <wp:inline distT="0" distB="0" distL="0" distR="0" wp14:anchorId="31C275A9" wp14:editId="0C28B342">
            <wp:extent cx="5658141" cy="1060505"/>
            <wp:effectExtent l="0" t="0" r="0" b="6350"/>
            <wp:docPr id="1"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stretch>
                      <a:fillRect/>
                    </a:stretch>
                  </pic:blipFill>
                  <pic:spPr>
                    <a:xfrm>
                      <a:off x="0" y="0"/>
                      <a:ext cx="5658141" cy="1060505"/>
                    </a:xfrm>
                    <a:prstGeom prst="rect">
                      <a:avLst/>
                    </a:prstGeom>
                  </pic:spPr>
                </pic:pic>
              </a:graphicData>
            </a:graphic>
          </wp:inline>
        </w:drawing>
      </w:r>
    </w:p>
    <w:p w14:paraId="71995CA8" w14:textId="633D8058" w:rsidR="0003503D" w:rsidRDefault="0003503D">
      <w:pPr>
        <w:rPr>
          <w:rFonts w:ascii="Bookman Old Style" w:hAnsi="Bookman Old Style"/>
          <w:sz w:val="24"/>
          <w:szCs w:val="24"/>
        </w:rPr>
      </w:pPr>
    </w:p>
    <w:p w14:paraId="49718E61" w14:textId="7B0B6A3A" w:rsidR="0003503D" w:rsidRPr="0003503D" w:rsidRDefault="0003503D">
      <w:pPr>
        <w:rPr>
          <w:rFonts w:ascii="Bookman Old Style" w:hAnsi="Bookman Old Style"/>
          <w:b/>
          <w:bCs/>
          <w:sz w:val="24"/>
          <w:szCs w:val="24"/>
        </w:rPr>
      </w:pPr>
      <w:r w:rsidRPr="0003503D">
        <w:rPr>
          <w:rFonts w:ascii="Bookman Old Style" w:hAnsi="Bookman Old Style"/>
          <w:b/>
          <w:bCs/>
          <w:sz w:val="24"/>
          <w:szCs w:val="24"/>
        </w:rPr>
        <w:t>Casi pratici e questioni sottese</w:t>
      </w:r>
      <w:r>
        <w:rPr>
          <w:rFonts w:ascii="Bookman Old Style" w:hAnsi="Bookman Old Style"/>
          <w:b/>
          <w:bCs/>
          <w:sz w:val="24"/>
          <w:szCs w:val="24"/>
        </w:rPr>
        <w:t xml:space="preserve"> (con uno sguardo alla bozza di Correttivo)</w:t>
      </w:r>
      <w:r w:rsidRPr="0003503D">
        <w:rPr>
          <w:rFonts w:ascii="Bookman Old Style" w:hAnsi="Bookman Old Style"/>
          <w:b/>
          <w:bCs/>
          <w:sz w:val="24"/>
          <w:szCs w:val="24"/>
        </w:rPr>
        <w:t>.</w:t>
      </w:r>
    </w:p>
    <w:p w14:paraId="75EFCEBB" w14:textId="1299BAAF" w:rsidR="0003503D" w:rsidRDefault="0003503D">
      <w:pPr>
        <w:rPr>
          <w:rFonts w:ascii="Bookman Old Style" w:hAnsi="Bookman Old Style"/>
          <w:sz w:val="24"/>
          <w:szCs w:val="24"/>
        </w:rPr>
      </w:pPr>
    </w:p>
    <w:p w14:paraId="2E9B8CFD" w14:textId="1270AC38" w:rsidR="0003503D" w:rsidRPr="0003503D" w:rsidRDefault="0003503D">
      <w:pPr>
        <w:rPr>
          <w:rFonts w:ascii="Bookman Old Style" w:hAnsi="Bookman Old Style"/>
          <w:b/>
          <w:bCs/>
          <w:sz w:val="24"/>
          <w:szCs w:val="24"/>
        </w:rPr>
      </w:pPr>
      <w:r w:rsidRPr="0003503D">
        <w:rPr>
          <w:rFonts w:ascii="Bookman Old Style" w:hAnsi="Bookman Old Style"/>
          <w:b/>
          <w:bCs/>
          <w:sz w:val="24"/>
          <w:szCs w:val="24"/>
        </w:rPr>
        <w:t>CASO 1</w:t>
      </w:r>
    </w:p>
    <w:p w14:paraId="22F45864" w14:textId="793D9CAD" w:rsidR="0003503D" w:rsidRPr="004952B5" w:rsidRDefault="0003503D" w:rsidP="004952B5">
      <w:pPr>
        <w:jc w:val="both"/>
        <w:rPr>
          <w:rFonts w:ascii="Bookman Old Style" w:hAnsi="Bookman Old Style"/>
          <w:sz w:val="24"/>
          <w:szCs w:val="24"/>
        </w:rPr>
      </w:pPr>
      <w:r w:rsidRPr="0003503D">
        <w:rPr>
          <w:rFonts w:ascii="Bookman Old Style" w:hAnsi="Bookman Old Style"/>
          <w:sz w:val="24"/>
          <w:szCs w:val="24"/>
        </w:rPr>
        <w:t>Tizio propone un piano RDC che prevede</w:t>
      </w:r>
      <w:r w:rsidR="004952B5">
        <w:rPr>
          <w:rFonts w:ascii="Bookman Old Style" w:hAnsi="Bookman Old Style"/>
          <w:sz w:val="24"/>
          <w:szCs w:val="24"/>
        </w:rPr>
        <w:t xml:space="preserve"> </w:t>
      </w:r>
      <w:r w:rsidRPr="004952B5">
        <w:rPr>
          <w:rFonts w:ascii="Bookman Old Style" w:hAnsi="Bookman Old Style"/>
          <w:sz w:val="24"/>
          <w:szCs w:val="24"/>
        </w:rPr>
        <w:t>di conservare un quadro cui è molto legato (valore 30mila €)</w:t>
      </w:r>
      <w:r w:rsidR="004952B5">
        <w:rPr>
          <w:rFonts w:ascii="Bookman Old Style" w:hAnsi="Bookman Old Style"/>
          <w:sz w:val="24"/>
          <w:szCs w:val="24"/>
        </w:rPr>
        <w:t xml:space="preserve">, fornendone una </w:t>
      </w:r>
      <w:proofErr w:type="spellStart"/>
      <w:r w:rsidRPr="004952B5">
        <w:rPr>
          <w:rFonts w:ascii="Bookman Old Style" w:hAnsi="Bookman Old Style"/>
          <w:sz w:val="24"/>
          <w:szCs w:val="24"/>
        </w:rPr>
        <w:t>controvalorizzazione</w:t>
      </w:r>
      <w:proofErr w:type="spellEnd"/>
      <w:r w:rsidRPr="004952B5">
        <w:rPr>
          <w:rFonts w:ascii="Bookman Old Style" w:hAnsi="Bookman Old Style"/>
          <w:sz w:val="24"/>
          <w:szCs w:val="24"/>
        </w:rPr>
        <w:t>, attraverso destinazione ai creditori di finanza terza in misura di € 35mila</w:t>
      </w:r>
      <w:r w:rsidR="004952B5">
        <w:rPr>
          <w:rFonts w:ascii="Bookman Old Style" w:hAnsi="Bookman Old Style"/>
          <w:sz w:val="24"/>
          <w:szCs w:val="24"/>
        </w:rPr>
        <w:t>.</w:t>
      </w:r>
    </w:p>
    <w:p w14:paraId="5C71C9E2" w14:textId="77777777" w:rsidR="004952B5" w:rsidRDefault="004952B5" w:rsidP="0003503D">
      <w:pPr>
        <w:rPr>
          <w:rFonts w:ascii="Bookman Old Style" w:hAnsi="Bookman Old Style"/>
          <w:b/>
          <w:bCs/>
          <w:sz w:val="24"/>
          <w:szCs w:val="24"/>
        </w:rPr>
      </w:pPr>
    </w:p>
    <w:p w14:paraId="4E7B3104" w14:textId="2169370E" w:rsidR="0003503D" w:rsidRPr="0003503D" w:rsidRDefault="0003503D" w:rsidP="0003503D">
      <w:pPr>
        <w:rPr>
          <w:rFonts w:ascii="Bookman Old Style" w:hAnsi="Bookman Old Style"/>
          <w:b/>
          <w:bCs/>
          <w:sz w:val="24"/>
          <w:szCs w:val="24"/>
        </w:rPr>
      </w:pPr>
      <w:r w:rsidRPr="0003503D">
        <w:rPr>
          <w:rFonts w:ascii="Bookman Old Style" w:hAnsi="Bookman Old Style"/>
          <w:b/>
          <w:bCs/>
          <w:sz w:val="24"/>
          <w:szCs w:val="24"/>
        </w:rPr>
        <w:t>CASO 2</w:t>
      </w:r>
    </w:p>
    <w:p w14:paraId="212E0F83" w14:textId="150EC148" w:rsidR="0003503D" w:rsidRPr="0003503D" w:rsidRDefault="0003503D" w:rsidP="004952B5">
      <w:pPr>
        <w:jc w:val="both"/>
        <w:rPr>
          <w:rFonts w:ascii="Bookman Old Style" w:hAnsi="Bookman Old Style"/>
          <w:sz w:val="24"/>
          <w:szCs w:val="24"/>
        </w:rPr>
      </w:pPr>
      <w:r>
        <w:rPr>
          <w:rFonts w:ascii="Bookman Old Style" w:hAnsi="Bookman Old Style"/>
          <w:sz w:val="24"/>
          <w:szCs w:val="24"/>
        </w:rPr>
        <w:t>T</w:t>
      </w:r>
      <w:r w:rsidRPr="0003503D">
        <w:rPr>
          <w:rFonts w:ascii="Bookman Old Style" w:hAnsi="Bookman Old Style"/>
          <w:sz w:val="24"/>
          <w:szCs w:val="24"/>
        </w:rPr>
        <w:t>izio propone un piano RDC</w:t>
      </w:r>
      <w:r>
        <w:rPr>
          <w:rFonts w:ascii="Bookman Old Style" w:hAnsi="Bookman Old Style"/>
          <w:sz w:val="24"/>
          <w:szCs w:val="24"/>
        </w:rPr>
        <w:t xml:space="preserve"> che consente di destinare ai creditori somme complessivamente maggiori rispetto allo scenario della LC (€ 100mila nel piano; € 70mila nella LC).</w:t>
      </w:r>
      <w:r w:rsidR="004952B5">
        <w:rPr>
          <w:rFonts w:ascii="Bookman Old Style" w:hAnsi="Bookman Old Style"/>
          <w:sz w:val="24"/>
          <w:szCs w:val="24"/>
        </w:rPr>
        <w:t xml:space="preserve"> </w:t>
      </w:r>
      <w:r w:rsidRPr="0003503D">
        <w:rPr>
          <w:rFonts w:ascii="Bookman Old Style" w:hAnsi="Bookman Old Style"/>
          <w:sz w:val="24"/>
          <w:szCs w:val="24"/>
        </w:rPr>
        <w:t>Tuttavia</w:t>
      </w:r>
      <w:r w:rsidR="004952B5">
        <w:rPr>
          <w:rFonts w:ascii="Bookman Old Style" w:hAnsi="Bookman Old Style"/>
          <w:sz w:val="24"/>
          <w:szCs w:val="24"/>
        </w:rPr>
        <w:t xml:space="preserve">, il piano non consente alcuna soddisfazione del ceto chirografario.  </w:t>
      </w:r>
    </w:p>
    <w:p w14:paraId="166831B2" w14:textId="77777777" w:rsidR="004952B5" w:rsidRDefault="004952B5" w:rsidP="004952B5">
      <w:pPr>
        <w:rPr>
          <w:rFonts w:ascii="Bookman Old Style" w:hAnsi="Bookman Old Style"/>
          <w:b/>
          <w:bCs/>
          <w:sz w:val="24"/>
          <w:szCs w:val="24"/>
        </w:rPr>
      </w:pPr>
    </w:p>
    <w:p w14:paraId="6D69C572" w14:textId="69D25028" w:rsidR="004952B5" w:rsidRPr="0003503D" w:rsidRDefault="004952B5" w:rsidP="004952B5">
      <w:pPr>
        <w:rPr>
          <w:rFonts w:ascii="Bookman Old Style" w:hAnsi="Bookman Old Style"/>
          <w:b/>
          <w:bCs/>
          <w:sz w:val="24"/>
          <w:szCs w:val="24"/>
        </w:rPr>
      </w:pPr>
      <w:r w:rsidRPr="0003503D">
        <w:rPr>
          <w:rFonts w:ascii="Bookman Old Style" w:hAnsi="Bookman Old Style"/>
          <w:b/>
          <w:bCs/>
          <w:sz w:val="24"/>
          <w:szCs w:val="24"/>
        </w:rPr>
        <w:t xml:space="preserve">CASO </w:t>
      </w:r>
      <w:r>
        <w:rPr>
          <w:rFonts w:ascii="Bookman Old Style" w:hAnsi="Bookman Old Style"/>
          <w:b/>
          <w:bCs/>
          <w:sz w:val="24"/>
          <w:szCs w:val="24"/>
        </w:rPr>
        <w:t>3</w:t>
      </w:r>
    </w:p>
    <w:p w14:paraId="664CB282" w14:textId="77777777" w:rsidR="003A0946" w:rsidRDefault="003A0946" w:rsidP="004952B5">
      <w:pPr>
        <w:jc w:val="both"/>
        <w:rPr>
          <w:rFonts w:ascii="Bookman Old Style" w:hAnsi="Bookman Old Style"/>
          <w:sz w:val="24"/>
          <w:szCs w:val="24"/>
        </w:rPr>
      </w:pPr>
      <w:r w:rsidRPr="003A0946">
        <w:rPr>
          <w:rFonts w:ascii="Bookman Old Style" w:hAnsi="Bookman Old Style"/>
          <w:b/>
          <w:bCs/>
          <w:sz w:val="24"/>
          <w:szCs w:val="24"/>
        </w:rPr>
        <w:t>3.A</w:t>
      </w:r>
      <w:r>
        <w:rPr>
          <w:rFonts w:ascii="Bookman Old Style" w:hAnsi="Bookman Old Style"/>
          <w:b/>
          <w:bCs/>
          <w:sz w:val="24"/>
          <w:szCs w:val="24"/>
        </w:rPr>
        <w:t xml:space="preserve"> </w:t>
      </w:r>
      <w:r w:rsidR="004952B5">
        <w:rPr>
          <w:rFonts w:ascii="Bookman Old Style" w:hAnsi="Bookman Old Style"/>
          <w:sz w:val="24"/>
          <w:szCs w:val="24"/>
        </w:rPr>
        <w:t>T</w:t>
      </w:r>
      <w:r w:rsidR="004952B5" w:rsidRPr="0003503D">
        <w:rPr>
          <w:rFonts w:ascii="Bookman Old Style" w:hAnsi="Bookman Old Style"/>
          <w:sz w:val="24"/>
          <w:szCs w:val="24"/>
        </w:rPr>
        <w:t>izio propone un piano RDC</w:t>
      </w:r>
      <w:r w:rsidR="004952B5">
        <w:rPr>
          <w:rFonts w:ascii="Bookman Old Style" w:hAnsi="Bookman Old Style"/>
          <w:sz w:val="24"/>
          <w:szCs w:val="24"/>
        </w:rPr>
        <w:t xml:space="preserve"> che si fonda su un cd. “finanziamento etico”; attraverso di esso, Tizio è in grado di pagare il privilegio generale (pari a 200) in misura di 80 entro dieci giorni dalla omologa, laddove nello scenario LC esso sarebbe soddisfatto in misura di 90, ma nel corso dell’intero triennio di LC (e sempreché vengano predisposti riparti parziali).</w:t>
      </w:r>
    </w:p>
    <w:p w14:paraId="0DC88A99" w14:textId="4E2B5EEB" w:rsidR="004952B5" w:rsidRDefault="003A0946" w:rsidP="004952B5">
      <w:pPr>
        <w:jc w:val="both"/>
        <w:rPr>
          <w:rFonts w:ascii="Bookman Old Style" w:hAnsi="Bookman Old Style"/>
          <w:b/>
          <w:bCs/>
          <w:sz w:val="24"/>
          <w:szCs w:val="24"/>
        </w:rPr>
      </w:pPr>
      <w:r w:rsidRPr="003A0946">
        <w:rPr>
          <w:rFonts w:ascii="Bookman Old Style" w:hAnsi="Bookman Old Style"/>
          <w:b/>
          <w:bCs/>
          <w:sz w:val="24"/>
          <w:szCs w:val="24"/>
        </w:rPr>
        <w:t>3.B</w:t>
      </w:r>
      <w:r>
        <w:rPr>
          <w:rFonts w:ascii="Bookman Old Style" w:hAnsi="Bookman Old Style"/>
          <w:b/>
          <w:bCs/>
          <w:sz w:val="24"/>
          <w:szCs w:val="24"/>
        </w:rPr>
        <w:t xml:space="preserve"> </w:t>
      </w:r>
      <w:r w:rsidRPr="003A0946">
        <w:rPr>
          <w:rFonts w:ascii="Bookman Old Style" w:hAnsi="Bookman Old Style"/>
          <w:sz w:val="24"/>
          <w:szCs w:val="24"/>
        </w:rPr>
        <w:t xml:space="preserve">Tizio propone un piano </w:t>
      </w:r>
      <w:r>
        <w:rPr>
          <w:rFonts w:ascii="Bookman Old Style" w:hAnsi="Bookman Old Style"/>
          <w:sz w:val="24"/>
          <w:szCs w:val="24"/>
        </w:rPr>
        <w:t>RDC che prevede la moratoria biennale di parte dei crediti privilegiati.</w:t>
      </w:r>
      <w:r w:rsidR="004952B5" w:rsidRPr="003A0946">
        <w:rPr>
          <w:rFonts w:ascii="Bookman Old Style" w:hAnsi="Bookman Old Style"/>
          <w:b/>
          <w:bCs/>
          <w:sz w:val="24"/>
          <w:szCs w:val="24"/>
        </w:rPr>
        <w:t xml:space="preserve"> </w:t>
      </w:r>
    </w:p>
    <w:p w14:paraId="0515D569" w14:textId="7C88A4D8" w:rsidR="0003503D" w:rsidRDefault="003A0946" w:rsidP="003A0946">
      <w:pPr>
        <w:jc w:val="both"/>
        <w:rPr>
          <w:rFonts w:ascii="Bookman Old Style" w:hAnsi="Bookman Old Style"/>
          <w:b/>
          <w:bCs/>
          <w:sz w:val="24"/>
          <w:szCs w:val="24"/>
        </w:rPr>
      </w:pPr>
      <w:r>
        <w:rPr>
          <w:rFonts w:ascii="Bookman Old Style" w:hAnsi="Bookman Old Style"/>
          <w:b/>
          <w:bCs/>
          <w:sz w:val="24"/>
          <w:szCs w:val="24"/>
        </w:rPr>
        <w:t xml:space="preserve">3.C </w:t>
      </w:r>
      <w:r w:rsidRPr="003A0946">
        <w:rPr>
          <w:rFonts w:ascii="Bookman Old Style" w:hAnsi="Bookman Old Style"/>
          <w:sz w:val="24"/>
          <w:szCs w:val="24"/>
        </w:rPr>
        <w:t xml:space="preserve">Tizio </w:t>
      </w:r>
      <w:r>
        <w:rPr>
          <w:rFonts w:ascii="Bookman Old Style" w:hAnsi="Bookman Old Style"/>
          <w:sz w:val="24"/>
          <w:szCs w:val="24"/>
        </w:rPr>
        <w:t xml:space="preserve">propone un piano RDC che prevede una durata di venti anni dalla omologa. </w:t>
      </w:r>
    </w:p>
    <w:p w14:paraId="2128FE23" w14:textId="77777777" w:rsidR="003A0946" w:rsidRDefault="003A0946" w:rsidP="003A0946">
      <w:pPr>
        <w:jc w:val="both"/>
        <w:rPr>
          <w:rFonts w:ascii="Bookman Old Style" w:hAnsi="Bookman Old Style"/>
          <w:b/>
          <w:bCs/>
          <w:sz w:val="24"/>
          <w:szCs w:val="24"/>
        </w:rPr>
      </w:pPr>
    </w:p>
    <w:p w14:paraId="31F0F257" w14:textId="49F5080D" w:rsidR="004952B5" w:rsidRPr="0003503D" w:rsidRDefault="004952B5" w:rsidP="004952B5">
      <w:pPr>
        <w:rPr>
          <w:rFonts w:ascii="Bookman Old Style" w:hAnsi="Bookman Old Style"/>
          <w:b/>
          <w:bCs/>
          <w:sz w:val="24"/>
          <w:szCs w:val="24"/>
        </w:rPr>
      </w:pPr>
      <w:r w:rsidRPr="0003503D">
        <w:rPr>
          <w:rFonts w:ascii="Bookman Old Style" w:hAnsi="Bookman Old Style"/>
          <w:b/>
          <w:bCs/>
          <w:sz w:val="24"/>
          <w:szCs w:val="24"/>
        </w:rPr>
        <w:t xml:space="preserve">CASO </w:t>
      </w:r>
      <w:r>
        <w:rPr>
          <w:rFonts w:ascii="Bookman Old Style" w:hAnsi="Bookman Old Style"/>
          <w:b/>
          <w:bCs/>
          <w:sz w:val="24"/>
          <w:szCs w:val="24"/>
        </w:rPr>
        <w:t>4</w:t>
      </w:r>
    </w:p>
    <w:p w14:paraId="038DC6D5" w14:textId="3736506B" w:rsidR="004952B5" w:rsidRDefault="004952B5" w:rsidP="004952B5">
      <w:pPr>
        <w:jc w:val="both"/>
        <w:rPr>
          <w:rFonts w:ascii="Bookman Old Style" w:hAnsi="Bookman Old Style"/>
          <w:sz w:val="24"/>
          <w:szCs w:val="24"/>
        </w:rPr>
      </w:pPr>
      <w:r>
        <w:rPr>
          <w:rFonts w:ascii="Bookman Old Style" w:hAnsi="Bookman Old Style"/>
          <w:sz w:val="24"/>
          <w:szCs w:val="24"/>
        </w:rPr>
        <w:t>T</w:t>
      </w:r>
      <w:r w:rsidRPr="0003503D">
        <w:rPr>
          <w:rFonts w:ascii="Bookman Old Style" w:hAnsi="Bookman Old Style"/>
          <w:sz w:val="24"/>
          <w:szCs w:val="24"/>
        </w:rPr>
        <w:t>izio propone un piano RDC</w:t>
      </w:r>
      <w:r>
        <w:rPr>
          <w:rFonts w:ascii="Bookman Old Style" w:hAnsi="Bookman Old Style"/>
          <w:sz w:val="24"/>
          <w:szCs w:val="24"/>
        </w:rPr>
        <w:t xml:space="preserve"> che si fonda su un cd. “finanziamento etico”; attraverso di esso, Tizio è in grado di pagare il privilegio generale (pari a 200) in misura di 80 entro dieci giorni dalla omologa, laddove nello scenario LC esso sarebbe soddisfatto in misura di 90, ma nel corso dell’intero triennio di LC (e sempreché vengano predisposti riparti parziali). </w:t>
      </w:r>
    </w:p>
    <w:p w14:paraId="2FA9CE75" w14:textId="77777777" w:rsidR="004952B5" w:rsidRDefault="004952B5" w:rsidP="004952B5">
      <w:pPr>
        <w:rPr>
          <w:rFonts w:ascii="Bookman Old Style" w:hAnsi="Bookman Old Style"/>
          <w:b/>
          <w:bCs/>
          <w:sz w:val="24"/>
          <w:szCs w:val="24"/>
        </w:rPr>
      </w:pPr>
    </w:p>
    <w:p w14:paraId="71E7A759" w14:textId="77777777" w:rsidR="004952B5" w:rsidRDefault="004952B5" w:rsidP="004952B5">
      <w:pPr>
        <w:rPr>
          <w:rFonts w:ascii="Bookman Old Style" w:hAnsi="Bookman Old Style"/>
          <w:b/>
          <w:bCs/>
          <w:sz w:val="24"/>
          <w:szCs w:val="24"/>
        </w:rPr>
      </w:pPr>
    </w:p>
    <w:p w14:paraId="5D12CDE3" w14:textId="670BDFE6" w:rsidR="004952B5" w:rsidRPr="0003503D" w:rsidRDefault="004952B5" w:rsidP="004952B5">
      <w:pPr>
        <w:rPr>
          <w:rFonts w:ascii="Bookman Old Style" w:hAnsi="Bookman Old Style"/>
          <w:b/>
          <w:bCs/>
          <w:sz w:val="24"/>
          <w:szCs w:val="24"/>
        </w:rPr>
      </w:pPr>
      <w:r w:rsidRPr="0003503D">
        <w:rPr>
          <w:rFonts w:ascii="Bookman Old Style" w:hAnsi="Bookman Old Style"/>
          <w:b/>
          <w:bCs/>
          <w:sz w:val="24"/>
          <w:szCs w:val="24"/>
        </w:rPr>
        <w:t xml:space="preserve">CASO </w:t>
      </w:r>
      <w:r>
        <w:rPr>
          <w:rFonts w:ascii="Bookman Old Style" w:hAnsi="Bookman Old Style"/>
          <w:b/>
          <w:bCs/>
          <w:sz w:val="24"/>
          <w:szCs w:val="24"/>
        </w:rPr>
        <w:t>5</w:t>
      </w:r>
    </w:p>
    <w:p w14:paraId="35716F0F" w14:textId="291E1E53" w:rsidR="004952B5" w:rsidRPr="0003503D" w:rsidRDefault="004952B5" w:rsidP="004952B5">
      <w:pPr>
        <w:jc w:val="both"/>
        <w:rPr>
          <w:rFonts w:ascii="Bookman Old Style" w:hAnsi="Bookman Old Style"/>
          <w:sz w:val="24"/>
          <w:szCs w:val="24"/>
        </w:rPr>
      </w:pPr>
      <w:r>
        <w:rPr>
          <w:rFonts w:ascii="Bookman Old Style" w:hAnsi="Bookman Old Style"/>
          <w:sz w:val="24"/>
          <w:szCs w:val="24"/>
        </w:rPr>
        <w:t>T</w:t>
      </w:r>
      <w:r w:rsidRPr="0003503D">
        <w:rPr>
          <w:rFonts w:ascii="Bookman Old Style" w:hAnsi="Bookman Old Style"/>
          <w:sz w:val="24"/>
          <w:szCs w:val="24"/>
        </w:rPr>
        <w:t xml:space="preserve">izio </w:t>
      </w:r>
      <w:r>
        <w:rPr>
          <w:rFonts w:ascii="Bookman Old Style" w:hAnsi="Bookman Old Style"/>
          <w:sz w:val="24"/>
          <w:szCs w:val="24"/>
        </w:rPr>
        <w:t xml:space="preserve">è proprietario di una abitazione principale che vale € 200mila; residua un debito </w:t>
      </w:r>
      <w:r w:rsidR="000A7432">
        <w:rPr>
          <w:rFonts w:ascii="Bookman Old Style" w:hAnsi="Bookman Old Style"/>
          <w:sz w:val="24"/>
          <w:szCs w:val="24"/>
        </w:rPr>
        <w:t xml:space="preserve">ipotecario </w:t>
      </w:r>
      <w:r>
        <w:rPr>
          <w:rFonts w:ascii="Bookman Old Style" w:hAnsi="Bookman Old Style"/>
          <w:sz w:val="24"/>
          <w:szCs w:val="24"/>
        </w:rPr>
        <w:t>verso la Banca mutuante di € 100mila; il mutuo è in regolare ammortamento; Tizio intende avvalersi della norma di cui all’art. 67, comma 5, CCII senza prevedere di versare alcunché ai creditori in relazione al valore</w:t>
      </w:r>
      <w:r w:rsidR="000A7432">
        <w:rPr>
          <w:rFonts w:ascii="Bookman Old Style" w:hAnsi="Bookman Old Style"/>
          <w:sz w:val="24"/>
          <w:szCs w:val="24"/>
        </w:rPr>
        <w:t xml:space="preserve"> (ed in particolare al cd. “supero”)</w:t>
      </w:r>
      <w:r>
        <w:rPr>
          <w:rFonts w:ascii="Bookman Old Style" w:hAnsi="Bookman Old Style"/>
          <w:sz w:val="24"/>
          <w:szCs w:val="24"/>
        </w:rPr>
        <w:t xml:space="preserve"> dell’immobile.   </w:t>
      </w:r>
    </w:p>
    <w:p w14:paraId="344CB5F4" w14:textId="77777777" w:rsidR="0003503D" w:rsidRDefault="0003503D" w:rsidP="0003503D">
      <w:pPr>
        <w:rPr>
          <w:rFonts w:ascii="Bookman Old Style" w:hAnsi="Bookman Old Style"/>
          <w:b/>
          <w:bCs/>
          <w:sz w:val="24"/>
          <w:szCs w:val="24"/>
        </w:rPr>
      </w:pPr>
    </w:p>
    <w:p w14:paraId="21982881" w14:textId="4A17CCF3" w:rsidR="000A7432" w:rsidRPr="0003503D" w:rsidRDefault="000A7432" w:rsidP="000A7432">
      <w:pPr>
        <w:rPr>
          <w:rFonts w:ascii="Bookman Old Style" w:hAnsi="Bookman Old Style"/>
          <w:b/>
          <w:bCs/>
          <w:sz w:val="24"/>
          <w:szCs w:val="24"/>
        </w:rPr>
      </w:pPr>
      <w:r w:rsidRPr="0003503D">
        <w:rPr>
          <w:rFonts w:ascii="Bookman Old Style" w:hAnsi="Bookman Old Style"/>
          <w:b/>
          <w:bCs/>
          <w:sz w:val="24"/>
          <w:szCs w:val="24"/>
        </w:rPr>
        <w:t xml:space="preserve">CASO </w:t>
      </w:r>
      <w:r>
        <w:rPr>
          <w:rFonts w:ascii="Bookman Old Style" w:hAnsi="Bookman Old Style"/>
          <w:b/>
          <w:bCs/>
          <w:sz w:val="24"/>
          <w:szCs w:val="24"/>
        </w:rPr>
        <w:t>6</w:t>
      </w:r>
    </w:p>
    <w:p w14:paraId="0B5145E6" w14:textId="579F8B6E" w:rsidR="0003503D" w:rsidRDefault="000A7432" w:rsidP="000A7432">
      <w:pPr>
        <w:jc w:val="both"/>
        <w:rPr>
          <w:rFonts w:ascii="Bookman Old Style" w:hAnsi="Bookman Old Style"/>
          <w:b/>
          <w:bCs/>
          <w:sz w:val="24"/>
          <w:szCs w:val="24"/>
        </w:rPr>
      </w:pPr>
      <w:r>
        <w:rPr>
          <w:rFonts w:ascii="Bookman Old Style" w:hAnsi="Bookman Old Style"/>
          <w:sz w:val="24"/>
          <w:szCs w:val="24"/>
        </w:rPr>
        <w:t>L’Avv. T</w:t>
      </w:r>
      <w:r w:rsidRPr="0003503D">
        <w:rPr>
          <w:rFonts w:ascii="Bookman Old Style" w:hAnsi="Bookman Old Style"/>
          <w:sz w:val="24"/>
          <w:szCs w:val="24"/>
        </w:rPr>
        <w:t xml:space="preserve">izio </w:t>
      </w:r>
      <w:r>
        <w:rPr>
          <w:rFonts w:ascii="Bookman Old Style" w:hAnsi="Bookman Old Style"/>
          <w:sz w:val="24"/>
          <w:szCs w:val="24"/>
        </w:rPr>
        <w:t xml:space="preserve">e la Giudice Caia sono coniugi </w:t>
      </w:r>
      <w:proofErr w:type="spellStart"/>
      <w:r>
        <w:rPr>
          <w:rFonts w:ascii="Bookman Old Style" w:hAnsi="Bookman Old Style"/>
          <w:sz w:val="24"/>
          <w:szCs w:val="24"/>
        </w:rPr>
        <w:t>sovraindebitati</w:t>
      </w:r>
      <w:proofErr w:type="spellEnd"/>
      <w:r>
        <w:rPr>
          <w:rFonts w:ascii="Bookman Old Style" w:hAnsi="Bookman Old Style"/>
          <w:sz w:val="24"/>
          <w:szCs w:val="24"/>
        </w:rPr>
        <w:t xml:space="preserve">; essi convivono nella abitazione di cui sono comproprietari, che intenderebbero conservare; il mutuo è intestato al solo Tizio, e risulta uno scaduto di tre rate; il funzionario della Banca ha già informalmente minacciato la prossima risoluzione del contratto.  </w:t>
      </w:r>
    </w:p>
    <w:p w14:paraId="51D52EEB" w14:textId="1EB4E151" w:rsidR="004952B5" w:rsidRDefault="004952B5" w:rsidP="0003503D">
      <w:pPr>
        <w:rPr>
          <w:rFonts w:ascii="Bookman Old Style" w:hAnsi="Bookman Old Style"/>
          <w:b/>
          <w:bCs/>
          <w:sz w:val="24"/>
          <w:szCs w:val="24"/>
        </w:rPr>
      </w:pPr>
    </w:p>
    <w:p w14:paraId="7276FA7A" w14:textId="041D18FE" w:rsidR="000A7432" w:rsidRPr="0003503D" w:rsidRDefault="000A7432" w:rsidP="000A7432">
      <w:pPr>
        <w:rPr>
          <w:rFonts w:ascii="Bookman Old Style" w:hAnsi="Bookman Old Style"/>
          <w:b/>
          <w:bCs/>
          <w:sz w:val="24"/>
          <w:szCs w:val="24"/>
        </w:rPr>
      </w:pPr>
      <w:r w:rsidRPr="0003503D">
        <w:rPr>
          <w:rFonts w:ascii="Bookman Old Style" w:hAnsi="Bookman Old Style"/>
          <w:b/>
          <w:bCs/>
          <w:sz w:val="24"/>
          <w:szCs w:val="24"/>
        </w:rPr>
        <w:t xml:space="preserve">CASO </w:t>
      </w:r>
      <w:r>
        <w:rPr>
          <w:rFonts w:ascii="Bookman Old Style" w:hAnsi="Bookman Old Style"/>
          <w:b/>
          <w:bCs/>
          <w:sz w:val="24"/>
          <w:szCs w:val="24"/>
        </w:rPr>
        <w:t>7</w:t>
      </w:r>
    </w:p>
    <w:p w14:paraId="597420AA" w14:textId="0E583539" w:rsidR="000A7432" w:rsidRDefault="00C80266" w:rsidP="000A7432">
      <w:pPr>
        <w:jc w:val="both"/>
        <w:rPr>
          <w:rFonts w:ascii="Bookman Old Style" w:hAnsi="Bookman Old Style"/>
          <w:b/>
          <w:bCs/>
          <w:sz w:val="24"/>
          <w:szCs w:val="24"/>
        </w:rPr>
      </w:pPr>
      <w:r>
        <w:rPr>
          <w:rFonts w:ascii="Bookman Old Style" w:hAnsi="Bookman Old Style"/>
          <w:sz w:val="24"/>
          <w:szCs w:val="24"/>
        </w:rPr>
        <w:t xml:space="preserve">Tizio svolgeva attività di imprenditore individuale sino al 2019, data in cui ha chiuso la attività cancellando la impresa dal registro camerale; è a tutt’oggi gravato da ingenti debiti col fisco, i fornitori, le banche. Si rivolge al proprio consulente al fine di valutare la possibilità di accesso ad uno strumento di composizione della crisi da sovraindebitamento.   </w:t>
      </w:r>
      <w:r w:rsidR="000A7432">
        <w:rPr>
          <w:rFonts w:ascii="Bookman Old Style" w:hAnsi="Bookman Old Style"/>
          <w:sz w:val="24"/>
          <w:szCs w:val="24"/>
        </w:rPr>
        <w:t xml:space="preserve"> </w:t>
      </w:r>
    </w:p>
    <w:p w14:paraId="1C34988D" w14:textId="28CD0E93" w:rsidR="000A7432" w:rsidRDefault="000A7432" w:rsidP="0003503D">
      <w:pPr>
        <w:rPr>
          <w:rFonts w:ascii="Bookman Old Style" w:hAnsi="Bookman Old Style"/>
          <w:b/>
          <w:bCs/>
          <w:sz w:val="24"/>
          <w:szCs w:val="24"/>
        </w:rPr>
      </w:pPr>
    </w:p>
    <w:p w14:paraId="5DB4DD77" w14:textId="77777777" w:rsidR="000A7432" w:rsidRDefault="000A7432" w:rsidP="0003503D">
      <w:pPr>
        <w:rPr>
          <w:rFonts w:ascii="Bookman Old Style" w:hAnsi="Bookman Old Style"/>
          <w:b/>
          <w:bCs/>
          <w:sz w:val="24"/>
          <w:szCs w:val="24"/>
        </w:rPr>
      </w:pPr>
    </w:p>
    <w:p w14:paraId="5F386C25" w14:textId="3B52E5F2" w:rsidR="0003503D" w:rsidRPr="0003503D" w:rsidRDefault="0003503D" w:rsidP="000A7432">
      <w:pPr>
        <w:jc w:val="both"/>
        <w:rPr>
          <w:rFonts w:ascii="Bookman Old Style" w:hAnsi="Bookman Old Style"/>
          <w:sz w:val="24"/>
          <w:szCs w:val="24"/>
        </w:rPr>
      </w:pPr>
      <w:r w:rsidRPr="0003503D">
        <w:rPr>
          <w:rFonts w:ascii="Bookman Old Style" w:hAnsi="Bookman Old Style"/>
          <w:b/>
          <w:bCs/>
          <w:sz w:val="24"/>
          <w:szCs w:val="24"/>
        </w:rPr>
        <w:t>Problem</w:t>
      </w:r>
      <w:r>
        <w:rPr>
          <w:rFonts w:ascii="Bookman Old Style" w:hAnsi="Bookman Old Style"/>
          <w:b/>
          <w:bCs/>
          <w:sz w:val="24"/>
          <w:szCs w:val="24"/>
        </w:rPr>
        <w:t>i</w:t>
      </w:r>
      <w:r>
        <w:rPr>
          <w:rFonts w:ascii="Bookman Old Style" w:hAnsi="Bookman Old Style"/>
          <w:sz w:val="24"/>
          <w:szCs w:val="24"/>
        </w:rPr>
        <w:t xml:space="preserve"> </w:t>
      </w:r>
      <w:r w:rsidRPr="0003503D">
        <w:rPr>
          <w:rFonts w:ascii="Bookman Old Style" w:hAnsi="Bookman Old Style"/>
          <w:b/>
          <w:bCs/>
          <w:sz w:val="24"/>
          <w:szCs w:val="24"/>
        </w:rPr>
        <w:t>e</w:t>
      </w:r>
      <w:r>
        <w:rPr>
          <w:rFonts w:ascii="Bookman Old Style" w:hAnsi="Bookman Old Style"/>
          <w:sz w:val="24"/>
          <w:szCs w:val="24"/>
        </w:rPr>
        <w:t xml:space="preserve"> </w:t>
      </w:r>
      <w:r w:rsidRPr="0003503D">
        <w:rPr>
          <w:rFonts w:ascii="Bookman Old Style" w:hAnsi="Bookman Old Style"/>
          <w:b/>
          <w:bCs/>
          <w:sz w:val="24"/>
          <w:szCs w:val="24"/>
        </w:rPr>
        <w:t>Questioni sottese</w:t>
      </w:r>
      <w:r>
        <w:rPr>
          <w:rFonts w:ascii="Bookman Old Style" w:hAnsi="Bookman Old Style"/>
          <w:sz w:val="24"/>
          <w:szCs w:val="24"/>
        </w:rPr>
        <w:t>: universalità oggettiva; trattamento creditori; regole distributive; rapporti tra giudizio di ammissibilità e giudizio di convenienza</w:t>
      </w:r>
      <w:r w:rsidR="000A7432">
        <w:rPr>
          <w:rFonts w:ascii="Bookman Old Style" w:hAnsi="Bookman Old Style"/>
          <w:sz w:val="24"/>
          <w:szCs w:val="24"/>
        </w:rPr>
        <w:t>; difesa della casa di abitazione; rapporti con lo scenario liquidatorio; procedure familiari;</w:t>
      </w:r>
      <w:r w:rsidR="00C80266">
        <w:rPr>
          <w:rFonts w:ascii="Bookman Old Style" w:hAnsi="Bookman Old Style"/>
          <w:sz w:val="24"/>
          <w:szCs w:val="24"/>
        </w:rPr>
        <w:t xml:space="preserve"> diritto alla composizione negoziale della crisi da sovraindebitamento.</w:t>
      </w:r>
      <w:r w:rsidR="000A7432">
        <w:rPr>
          <w:rFonts w:ascii="Bookman Old Style" w:hAnsi="Bookman Old Style"/>
          <w:sz w:val="24"/>
          <w:szCs w:val="24"/>
        </w:rPr>
        <w:t xml:space="preserve"> </w:t>
      </w:r>
    </w:p>
    <w:sectPr w:rsidR="0003503D" w:rsidRPr="0003503D">
      <w:pgSz w:w="11906" w:h="16838"/>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Bookman Old Style">
    <w:panose1 w:val="02050604050505020204"/>
    <w:charset w:val="00"/>
    <w:family w:val="roman"/>
    <w:pitch w:val="variable"/>
    <w:sig w:usb0="00000287" w:usb1="00000000" w:usb2="00000000" w:usb3="00000000" w:csb0="0000009F" w:csb1="00000000"/>
  </w:font>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C0723F1"/>
    <w:multiLevelType w:val="hybridMultilevel"/>
    <w:tmpl w:val="8DEAC09C"/>
    <w:lvl w:ilvl="0" w:tplc="4DECCAE6">
      <w:numFmt w:val="bullet"/>
      <w:lvlText w:val="-"/>
      <w:lvlJc w:val="left"/>
      <w:pPr>
        <w:ind w:left="720" w:hanging="360"/>
      </w:pPr>
      <w:rPr>
        <w:rFonts w:ascii="Bookman Old Style" w:eastAsiaTheme="minorHAnsi" w:hAnsi="Bookman Old Style" w:cstheme="minorBid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 w15:restartNumberingAfterBreak="0">
    <w:nsid w:val="55172617"/>
    <w:multiLevelType w:val="hybridMultilevel"/>
    <w:tmpl w:val="B8A89D4C"/>
    <w:lvl w:ilvl="0" w:tplc="04100017">
      <w:start w:val="1"/>
      <w:numFmt w:val="low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A0B8B"/>
    <w:rsid w:val="0003503D"/>
    <w:rsid w:val="000A7432"/>
    <w:rsid w:val="000E6A14"/>
    <w:rsid w:val="003A0946"/>
    <w:rsid w:val="003A0B8B"/>
    <w:rsid w:val="00466A08"/>
    <w:rsid w:val="004952B5"/>
    <w:rsid w:val="00724DDD"/>
    <w:rsid w:val="00771B60"/>
    <w:rsid w:val="0082466E"/>
    <w:rsid w:val="00C02A34"/>
    <w:rsid w:val="00C76472"/>
    <w:rsid w:val="00C80266"/>
    <w:rsid w:val="00CA22FB"/>
    <w:rsid w:val="00D66F90"/>
    <w:rsid w:val="00DC658C"/>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F9CD949"/>
  <w15:chartTrackingRefBased/>
  <w15:docId w15:val="{B352C1EF-2D48-4767-9F37-F3FC42B2D3B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le">
    <w:name w:val="Normal"/>
    <w:qFormat/>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Paragrafoelenco">
    <w:name w:val="List Paragraph"/>
    <w:basedOn w:val="Normale"/>
    <w:uiPriority w:val="34"/>
    <w:qFormat/>
    <w:rsid w:val="0003503D"/>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customXml" Target="../customXml/item3.xml"/><Relationship Id="rId7" Type="http://schemas.openxmlformats.org/officeDocument/2006/relationships/webSettings" Target="webSetting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5" Type="http://schemas.openxmlformats.org/officeDocument/2006/relationships/styles" Target="styles.xml"/><Relationship Id="rId10" Type="http://schemas.openxmlformats.org/officeDocument/2006/relationships/theme" Target="theme/theme1.xml"/><Relationship Id="rId4" Type="http://schemas.openxmlformats.org/officeDocument/2006/relationships/numbering" Target="numbering.xml"/><Relationship Id="rId9" Type="http://schemas.openxmlformats.org/officeDocument/2006/relationships/fontTable" Target="fontTable.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o" ma:contentTypeID="0x01010045D92D85B2F2DE488CBB3064FCCCE160" ma:contentTypeVersion="4" ma:contentTypeDescription="Creare un nuovo documento." ma:contentTypeScope="" ma:versionID="33f4d7adea5a53c32be7256e629db89d">
  <xsd:schema xmlns:xsd="http://www.w3.org/2001/XMLSchema" xmlns:xs="http://www.w3.org/2001/XMLSchema" xmlns:p="http://schemas.microsoft.com/office/2006/metadata/properties" xmlns:ns2="8c5e8bda-f2fd-4b46-b715-2ce90cb43af8" targetNamespace="http://schemas.microsoft.com/office/2006/metadata/properties" ma:root="true" ma:fieldsID="041b753fa0bfb2efa3e4900f867b6f5e" ns2:_="">
    <xsd:import namespace="8c5e8bda-f2fd-4b46-b715-2ce90cb43af8"/>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c5e8bda-f2fd-4b46-b715-2ce90cb43af8"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i contenuto"/>
        <xsd:element ref="dc:title" minOccurs="0" maxOccurs="1" ma:index="4" ma:displayName="Tito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E2E7783E-7479-4A93-99CB-3A5FBD329624}">
  <ds:schemaRefs>
    <ds:schemaRef ds:uri="http://schemas.microsoft.com/sharepoint/v3/contenttype/forms"/>
  </ds:schemaRefs>
</ds:datastoreItem>
</file>

<file path=customXml/itemProps2.xml><?xml version="1.0" encoding="utf-8"?>
<ds:datastoreItem xmlns:ds="http://schemas.openxmlformats.org/officeDocument/2006/customXml" ds:itemID="{C9F476E0-7870-4AB0-A41F-0EFFB8441BB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c5e8bda-f2fd-4b46-b715-2ce90cb43af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EE4AED31-23AD-49B1-AD5D-15BD7EAF4657}">
  <ds:schemaRefs>
    <ds:schemaRef ds:uri="http://schemas.microsoft.com/office/2006/metadata/properties"/>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436</Words>
  <Characters>2486</Characters>
  <Application>Microsoft Office Word</Application>
  <DocSecurity>0</DocSecurity>
  <Lines>20</Lines>
  <Paragraphs>5</Paragraphs>
  <ScaleCrop>false</ScaleCrop>
  <HeadingPairs>
    <vt:vector size="2" baseType="variant">
      <vt:variant>
        <vt:lpstr>Titolo</vt:lpstr>
      </vt:variant>
      <vt:variant>
        <vt:i4>1</vt:i4>
      </vt:variant>
    </vt:vector>
  </HeadingPairs>
  <TitlesOfParts>
    <vt:vector size="1" baseType="lpstr">
      <vt:lpstr/>
    </vt:vector>
  </TitlesOfParts>
  <Company>Ministero della Giustizia</Company>
  <LinksUpToDate>false</LinksUpToDate>
  <CharactersWithSpaces>2917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Carlo Bianconi</dc:creator>
  <cp:keywords/>
  <dc:description/>
  <cp:lastModifiedBy>Anna Ghedini</cp:lastModifiedBy>
  <cp:revision>2</cp:revision>
  <dcterms:created xsi:type="dcterms:W3CDTF">2024-05-15T12:11:00Z</dcterms:created>
  <dcterms:modified xsi:type="dcterms:W3CDTF">2024-05-15T12:11:00Z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0x01010045D92D85B2F2DE488CBB3064FCCCE160</vt:lpwstr>
  </property>
</Properties>
</file>